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18" w:rsidRPr="003A7E97" w:rsidRDefault="00AC6618" w:rsidP="003A7E97">
      <w:pPr>
        <w:pStyle w:val="Titre"/>
        <w:jc w:val="center"/>
        <w:rPr>
          <w:lang w:val="fr-FR"/>
        </w:rPr>
      </w:pPr>
      <w:r w:rsidRPr="003A7E97">
        <w:rPr>
          <w:lang w:val="fr-FR"/>
        </w:rPr>
        <w:t>Le point de vue de la cgt sur la stratégie industrielle.</w:t>
      </w:r>
    </w:p>
    <w:p w:rsidR="00AC6618" w:rsidRPr="003A7E97" w:rsidRDefault="00AC6618">
      <w:pPr>
        <w:rPr>
          <w:sz w:val="36"/>
          <w:szCs w:val="36"/>
        </w:rPr>
      </w:pPr>
      <w:r w:rsidRPr="003A7E97">
        <w:rPr>
          <w:sz w:val="36"/>
          <w:szCs w:val="36"/>
        </w:rPr>
        <w:t xml:space="preserve">La </w:t>
      </w:r>
      <w:proofErr w:type="spellStart"/>
      <w:r w:rsidRPr="003A7E97">
        <w:rPr>
          <w:sz w:val="36"/>
          <w:szCs w:val="36"/>
        </w:rPr>
        <w:t>stratégie</w:t>
      </w:r>
      <w:proofErr w:type="spellEnd"/>
      <w:r w:rsidRPr="003A7E97">
        <w:rPr>
          <w:sz w:val="36"/>
          <w:szCs w:val="36"/>
        </w:rPr>
        <w:t xml:space="preserve"> </w:t>
      </w:r>
      <w:proofErr w:type="spellStart"/>
      <w:r w:rsidRPr="003A7E97">
        <w:rPr>
          <w:sz w:val="36"/>
          <w:szCs w:val="36"/>
        </w:rPr>
        <w:t>sur</w:t>
      </w:r>
      <w:proofErr w:type="spellEnd"/>
      <w:r w:rsidRPr="003A7E97">
        <w:rPr>
          <w:sz w:val="36"/>
          <w:szCs w:val="36"/>
        </w:rPr>
        <w:t xml:space="preserve"> 3 ans présentée par la direction nous a été présentée à la réunion de C.C.E du 14 décembre 2010, celle-ci nous révèle deux grands axes importants.</w:t>
      </w:r>
    </w:p>
    <w:p w:rsidR="00AC6618" w:rsidRPr="003A7E97" w:rsidRDefault="00AC6618" w:rsidP="00AC6618">
      <w:pPr>
        <w:pStyle w:val="Paragraphedeliste"/>
        <w:numPr>
          <w:ilvl w:val="0"/>
          <w:numId w:val="1"/>
        </w:numPr>
        <w:rPr>
          <w:sz w:val="36"/>
          <w:szCs w:val="36"/>
          <w:lang w:val="fr-FR"/>
        </w:rPr>
      </w:pPr>
      <w:r w:rsidRPr="003A7E97">
        <w:rPr>
          <w:sz w:val="36"/>
          <w:szCs w:val="36"/>
          <w:lang w:val="fr-FR"/>
        </w:rPr>
        <w:t>Tout d</w:t>
      </w:r>
      <w:r w:rsidR="003A7E97" w:rsidRPr="003A7E97">
        <w:rPr>
          <w:sz w:val="36"/>
          <w:szCs w:val="36"/>
          <w:lang w:val="fr-FR"/>
        </w:rPr>
        <w:t>’abord financiè</w:t>
      </w:r>
      <w:r w:rsidRPr="003A7E97">
        <w:rPr>
          <w:sz w:val="36"/>
          <w:szCs w:val="36"/>
          <w:lang w:val="fr-FR"/>
        </w:rPr>
        <w:t xml:space="preserve">rement : porter le chiffre d’affaire du diesel de 1,7 milliards de </w:t>
      </w:r>
      <w:r w:rsidR="003A7E97" w:rsidRPr="003A7E97">
        <w:rPr>
          <w:sz w:val="36"/>
          <w:szCs w:val="36"/>
          <w:lang w:val="fr-FR"/>
        </w:rPr>
        <w:t>dollars</w:t>
      </w:r>
      <w:r w:rsidRPr="003A7E97">
        <w:rPr>
          <w:sz w:val="36"/>
          <w:szCs w:val="36"/>
          <w:lang w:val="fr-FR"/>
        </w:rPr>
        <w:t xml:space="preserve"> à 2,5 milliards en 2015.</w:t>
      </w:r>
    </w:p>
    <w:p w:rsidR="00AC6618" w:rsidRPr="003A7E97" w:rsidRDefault="00AC6618" w:rsidP="00AC6618">
      <w:pPr>
        <w:pStyle w:val="Paragraphedeliste"/>
        <w:rPr>
          <w:sz w:val="36"/>
          <w:szCs w:val="36"/>
          <w:lang w:val="fr-FR"/>
        </w:rPr>
      </w:pPr>
      <w:r w:rsidRPr="003A7E97">
        <w:rPr>
          <w:sz w:val="36"/>
          <w:szCs w:val="36"/>
          <w:lang w:val="fr-FR"/>
        </w:rPr>
        <w:t>Porter le résultat net à 14 % sur le chiffre d’af</w:t>
      </w:r>
      <w:r w:rsidR="003A7E97" w:rsidRPr="003A7E97">
        <w:rPr>
          <w:sz w:val="36"/>
          <w:szCs w:val="36"/>
          <w:lang w:val="fr-FR"/>
        </w:rPr>
        <w:t>f</w:t>
      </w:r>
      <w:r w:rsidRPr="003A7E97">
        <w:rPr>
          <w:sz w:val="36"/>
          <w:szCs w:val="36"/>
          <w:lang w:val="fr-FR"/>
        </w:rPr>
        <w:t>aire, nous sommes en dessous de 10 % depuis des années.</w:t>
      </w:r>
    </w:p>
    <w:p w:rsidR="003A7E97" w:rsidRPr="003A7E97" w:rsidRDefault="003A7E97" w:rsidP="003A7E97">
      <w:pPr>
        <w:pStyle w:val="Paragraphedeliste"/>
        <w:numPr>
          <w:ilvl w:val="0"/>
          <w:numId w:val="1"/>
        </w:num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-</w:t>
      </w:r>
      <w:r w:rsidRPr="003A7E97">
        <w:rPr>
          <w:sz w:val="36"/>
          <w:szCs w:val="36"/>
          <w:lang w:val="fr-FR"/>
        </w:rPr>
        <w:t>SATURER les capacités existantes en Europe de l’Ouest et poursuivre les actions d’optimisation des couts dans les pays low cost (pays à bas cout).</w:t>
      </w:r>
    </w:p>
    <w:p w:rsidR="003A7E97" w:rsidRPr="003A7E97" w:rsidRDefault="003A7E97" w:rsidP="003A7E97">
      <w:pPr>
        <w:pStyle w:val="Paragraphedeliste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-</w:t>
      </w:r>
      <w:r w:rsidRPr="003A7E97">
        <w:rPr>
          <w:sz w:val="36"/>
          <w:szCs w:val="36"/>
          <w:lang w:val="fr-FR"/>
        </w:rPr>
        <w:t xml:space="preserve">Poursuivre le renforcement des capacités sur </w:t>
      </w:r>
      <w:proofErr w:type="spellStart"/>
      <w:r w:rsidRPr="003A7E97">
        <w:rPr>
          <w:sz w:val="36"/>
          <w:szCs w:val="36"/>
          <w:lang w:val="fr-FR"/>
        </w:rPr>
        <w:t>lasi</w:t>
      </w:r>
      <w:proofErr w:type="spellEnd"/>
      <w:r w:rsidRPr="003A7E97">
        <w:rPr>
          <w:sz w:val="36"/>
          <w:szCs w:val="36"/>
          <w:lang w:val="fr-FR"/>
        </w:rPr>
        <w:t xml:space="preserve"> et Izmir</w:t>
      </w:r>
    </w:p>
    <w:p w:rsidR="003A7E97" w:rsidRDefault="003A7E97" w:rsidP="003A7E97">
      <w:pPr>
        <w:pStyle w:val="Paragraphedeliste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-</w:t>
      </w:r>
      <w:r w:rsidRPr="003A7E97">
        <w:rPr>
          <w:sz w:val="36"/>
          <w:szCs w:val="36"/>
          <w:lang w:val="fr-FR"/>
        </w:rPr>
        <w:t>Poursuivre les actions de recherche de fournisseurs low cost</w:t>
      </w:r>
      <w:r>
        <w:rPr>
          <w:sz w:val="36"/>
          <w:szCs w:val="36"/>
          <w:lang w:val="fr-FR"/>
        </w:rPr>
        <w:t>.</w:t>
      </w:r>
    </w:p>
    <w:p w:rsidR="003A7E97" w:rsidRPr="00F85EF1" w:rsidRDefault="003A7E97" w:rsidP="003A7E97">
      <w:pPr>
        <w:rPr>
          <w:b/>
          <w:sz w:val="36"/>
          <w:szCs w:val="36"/>
          <w:u w:val="single"/>
        </w:rPr>
      </w:pPr>
      <w:r w:rsidRPr="00F85EF1">
        <w:rPr>
          <w:b/>
          <w:sz w:val="36"/>
          <w:szCs w:val="36"/>
          <w:u w:val="single"/>
        </w:rPr>
        <w:t xml:space="preserve">Evolution de </w:t>
      </w:r>
      <w:proofErr w:type="spellStart"/>
      <w:r w:rsidRPr="00F85EF1">
        <w:rPr>
          <w:b/>
          <w:sz w:val="36"/>
          <w:szCs w:val="36"/>
          <w:u w:val="single"/>
        </w:rPr>
        <w:t>l’emploi</w:t>
      </w:r>
      <w:proofErr w:type="spellEnd"/>
      <w:r w:rsidRPr="00F85EF1">
        <w:rPr>
          <w:b/>
          <w:sz w:val="36"/>
          <w:szCs w:val="36"/>
          <w:u w:val="single"/>
        </w:rPr>
        <w:t xml:space="preserve"> 2011 à 2013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A7E97" w:rsidTr="002C7E30">
        <w:tc>
          <w:tcPr>
            <w:tcW w:w="2303" w:type="dxa"/>
          </w:tcPr>
          <w:p w:rsidR="003A7E97" w:rsidRDefault="003A7E97" w:rsidP="002C7E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Blois</w:t>
            </w:r>
          </w:p>
        </w:tc>
        <w:tc>
          <w:tcPr>
            <w:tcW w:w="2303" w:type="dxa"/>
          </w:tcPr>
          <w:p w:rsidR="003A7E97" w:rsidRDefault="003A7E97" w:rsidP="002C7E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Directs</w:t>
            </w:r>
          </w:p>
        </w:tc>
        <w:tc>
          <w:tcPr>
            <w:tcW w:w="2303" w:type="dxa"/>
          </w:tcPr>
          <w:p w:rsidR="003A7E97" w:rsidRDefault="003A7E97" w:rsidP="002C7E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Indirects</w:t>
            </w:r>
          </w:p>
        </w:tc>
        <w:tc>
          <w:tcPr>
            <w:tcW w:w="2303" w:type="dxa"/>
          </w:tcPr>
          <w:p w:rsidR="003A7E97" w:rsidRDefault="003A7E97" w:rsidP="002C7E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Moyenne temporaires</w:t>
            </w:r>
          </w:p>
        </w:tc>
      </w:tr>
      <w:tr w:rsidR="003A7E97" w:rsidTr="002C7E30">
        <w:tc>
          <w:tcPr>
            <w:tcW w:w="2303" w:type="dxa"/>
          </w:tcPr>
          <w:p w:rsidR="003A7E97" w:rsidRDefault="003A7E97" w:rsidP="002C7E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2010</w:t>
            </w:r>
          </w:p>
        </w:tc>
        <w:tc>
          <w:tcPr>
            <w:tcW w:w="2303" w:type="dxa"/>
          </w:tcPr>
          <w:p w:rsidR="003A7E97" w:rsidRDefault="003A7E97" w:rsidP="002C7E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686</w:t>
            </w:r>
          </w:p>
        </w:tc>
        <w:tc>
          <w:tcPr>
            <w:tcW w:w="2303" w:type="dxa"/>
          </w:tcPr>
          <w:p w:rsidR="003A7E97" w:rsidRDefault="003A7E97" w:rsidP="002C7E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308</w:t>
            </w:r>
          </w:p>
        </w:tc>
        <w:tc>
          <w:tcPr>
            <w:tcW w:w="2303" w:type="dxa"/>
          </w:tcPr>
          <w:p w:rsidR="003A7E97" w:rsidRDefault="003A7E97" w:rsidP="002C7E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390</w:t>
            </w:r>
          </w:p>
        </w:tc>
      </w:tr>
      <w:tr w:rsidR="003A7E97" w:rsidTr="002C7E30">
        <w:tc>
          <w:tcPr>
            <w:tcW w:w="2303" w:type="dxa"/>
          </w:tcPr>
          <w:p w:rsidR="003A7E97" w:rsidRDefault="003A7E97" w:rsidP="002C7E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2011</w:t>
            </w:r>
          </w:p>
        </w:tc>
        <w:tc>
          <w:tcPr>
            <w:tcW w:w="2303" w:type="dxa"/>
          </w:tcPr>
          <w:p w:rsidR="003A7E97" w:rsidRDefault="003A7E97" w:rsidP="002C7E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686</w:t>
            </w:r>
          </w:p>
        </w:tc>
        <w:tc>
          <w:tcPr>
            <w:tcW w:w="2303" w:type="dxa"/>
          </w:tcPr>
          <w:p w:rsidR="003A7E97" w:rsidRDefault="003A7E97" w:rsidP="002C7E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289</w:t>
            </w:r>
          </w:p>
        </w:tc>
        <w:tc>
          <w:tcPr>
            <w:tcW w:w="2303" w:type="dxa"/>
          </w:tcPr>
          <w:p w:rsidR="003A7E97" w:rsidRDefault="003A7E97" w:rsidP="002C7E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277</w:t>
            </w:r>
          </w:p>
        </w:tc>
      </w:tr>
      <w:tr w:rsidR="003A7E97" w:rsidTr="002C7E30">
        <w:tc>
          <w:tcPr>
            <w:tcW w:w="2303" w:type="dxa"/>
          </w:tcPr>
          <w:p w:rsidR="003A7E97" w:rsidRDefault="003A7E97" w:rsidP="002C7E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2012</w:t>
            </w:r>
          </w:p>
        </w:tc>
        <w:tc>
          <w:tcPr>
            <w:tcW w:w="2303" w:type="dxa"/>
          </w:tcPr>
          <w:p w:rsidR="003A7E97" w:rsidRDefault="003A7E97" w:rsidP="002C7E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686</w:t>
            </w:r>
          </w:p>
        </w:tc>
        <w:tc>
          <w:tcPr>
            <w:tcW w:w="2303" w:type="dxa"/>
          </w:tcPr>
          <w:p w:rsidR="003A7E97" w:rsidRDefault="003A7E97" w:rsidP="002C7E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289</w:t>
            </w:r>
          </w:p>
        </w:tc>
        <w:tc>
          <w:tcPr>
            <w:tcW w:w="2303" w:type="dxa"/>
          </w:tcPr>
          <w:p w:rsidR="003A7E97" w:rsidRDefault="003A7E97" w:rsidP="002C7E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215</w:t>
            </w:r>
          </w:p>
        </w:tc>
      </w:tr>
      <w:tr w:rsidR="003A7E97" w:rsidTr="002C7E30">
        <w:tc>
          <w:tcPr>
            <w:tcW w:w="2303" w:type="dxa"/>
          </w:tcPr>
          <w:p w:rsidR="003A7E97" w:rsidRDefault="003A7E97" w:rsidP="002C7E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2013</w:t>
            </w:r>
          </w:p>
        </w:tc>
        <w:tc>
          <w:tcPr>
            <w:tcW w:w="2303" w:type="dxa"/>
          </w:tcPr>
          <w:p w:rsidR="003A7E97" w:rsidRDefault="003A7E97" w:rsidP="002C7E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686</w:t>
            </w:r>
          </w:p>
        </w:tc>
        <w:tc>
          <w:tcPr>
            <w:tcW w:w="2303" w:type="dxa"/>
          </w:tcPr>
          <w:p w:rsidR="003A7E97" w:rsidRDefault="003A7E97" w:rsidP="002C7E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289</w:t>
            </w:r>
          </w:p>
        </w:tc>
        <w:tc>
          <w:tcPr>
            <w:tcW w:w="2303" w:type="dxa"/>
          </w:tcPr>
          <w:p w:rsidR="003A7E97" w:rsidRDefault="003A7E97" w:rsidP="002C7E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189</w:t>
            </w:r>
          </w:p>
        </w:tc>
      </w:tr>
    </w:tbl>
    <w:p w:rsidR="003A7E97" w:rsidRDefault="003A7E97" w:rsidP="003A7E97">
      <w:pPr>
        <w:pStyle w:val="Paragraphedeliste"/>
        <w:rPr>
          <w:sz w:val="36"/>
          <w:szCs w:val="36"/>
          <w:lang w:val="fr-FR"/>
        </w:rPr>
      </w:pPr>
    </w:p>
    <w:p w:rsidR="00A24F32" w:rsidRDefault="003A7E97" w:rsidP="003A7E97">
      <w:pPr>
        <w:pStyle w:val="Paragraphedeliste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Pour nous, à la cgt, ses deux grands axes vont ensemble, aux vue des prévisions de productions en augmentation jusqu</w:t>
      </w:r>
      <w:r w:rsidR="00B20A52">
        <w:rPr>
          <w:sz w:val="36"/>
          <w:szCs w:val="36"/>
          <w:lang w:val="fr-FR"/>
        </w:rPr>
        <w:t>’</w:t>
      </w:r>
      <w:r>
        <w:rPr>
          <w:sz w:val="36"/>
          <w:szCs w:val="36"/>
          <w:lang w:val="fr-FR"/>
        </w:rPr>
        <w:t>en 2011, et de la demande de</w:t>
      </w:r>
      <w:r w:rsidR="00B20A52">
        <w:rPr>
          <w:sz w:val="36"/>
          <w:szCs w:val="36"/>
          <w:lang w:val="fr-FR"/>
        </w:rPr>
        <w:t xml:space="preserve"> rentabilité accrue </w:t>
      </w:r>
      <w:r>
        <w:rPr>
          <w:sz w:val="36"/>
          <w:szCs w:val="36"/>
          <w:lang w:val="fr-FR"/>
        </w:rPr>
        <w:t>demandé</w:t>
      </w:r>
      <w:r w:rsidR="00B20A52">
        <w:rPr>
          <w:sz w:val="36"/>
          <w:szCs w:val="36"/>
          <w:lang w:val="fr-FR"/>
        </w:rPr>
        <w:t>e</w:t>
      </w:r>
      <w:r>
        <w:rPr>
          <w:sz w:val="36"/>
          <w:szCs w:val="36"/>
          <w:lang w:val="fr-FR"/>
        </w:rPr>
        <w:t xml:space="preserve"> par nos actionnaires, </w:t>
      </w:r>
      <w:r w:rsidR="00B20A52">
        <w:rPr>
          <w:sz w:val="36"/>
          <w:szCs w:val="36"/>
          <w:lang w:val="fr-FR"/>
        </w:rPr>
        <w:t xml:space="preserve">nous avons donc sur le papier et à leurs yeux </w:t>
      </w:r>
      <w:r>
        <w:rPr>
          <w:sz w:val="36"/>
          <w:szCs w:val="36"/>
          <w:lang w:val="fr-FR"/>
        </w:rPr>
        <w:t>devoir travailler plus avec moins de salariés</w:t>
      </w:r>
      <w:r w:rsidR="00B20A52">
        <w:rPr>
          <w:sz w:val="36"/>
          <w:szCs w:val="36"/>
          <w:lang w:val="fr-FR"/>
        </w:rPr>
        <w:t>.</w:t>
      </w:r>
    </w:p>
    <w:p w:rsidR="003A7E97" w:rsidRDefault="00A24F32" w:rsidP="003A7E97">
      <w:pPr>
        <w:pStyle w:val="Paragraphedeliste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Si cela se produit ? Quelles récompenses auront nous en retour ?</w:t>
      </w:r>
      <w:r w:rsidR="00B20A52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 xml:space="preserve">Cela jouera t’il sur les conditions de travail ? </w:t>
      </w:r>
      <w:proofErr w:type="gramStart"/>
      <w:r>
        <w:rPr>
          <w:sz w:val="36"/>
          <w:szCs w:val="36"/>
          <w:lang w:val="fr-FR"/>
        </w:rPr>
        <w:t>la</w:t>
      </w:r>
      <w:proofErr w:type="gramEnd"/>
      <w:r>
        <w:rPr>
          <w:sz w:val="36"/>
          <w:szCs w:val="36"/>
          <w:lang w:val="fr-FR"/>
        </w:rPr>
        <w:t xml:space="preserve"> reconnaissances sera-t-elle aux rendez vous ? </w:t>
      </w:r>
    </w:p>
    <w:p w:rsidR="00A24F32" w:rsidRDefault="00A24F32" w:rsidP="003A7E97">
      <w:pPr>
        <w:pStyle w:val="Paragraphedeliste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Nous restons attentifs à la suite des événements, et nous vous tiendrons informé de chaque fait nouveau pouvant interférer sur les emplois, les conditions de travails et les productions.</w:t>
      </w:r>
    </w:p>
    <w:p w:rsidR="00A24F32" w:rsidRPr="003A7E97" w:rsidRDefault="00A24F32" w:rsidP="003A7E97">
      <w:pPr>
        <w:pStyle w:val="Paragraphedeliste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C’est tous ensemble que nous ferons avancer nos revendications.</w:t>
      </w:r>
    </w:p>
    <w:p w:rsidR="003A7E97" w:rsidRPr="003A7E97" w:rsidRDefault="003A7E97" w:rsidP="003A7E97">
      <w:pPr>
        <w:pStyle w:val="Paragraphedeliste"/>
        <w:rPr>
          <w:sz w:val="36"/>
          <w:szCs w:val="36"/>
          <w:lang w:val="fr-FR"/>
        </w:rPr>
      </w:pPr>
    </w:p>
    <w:p w:rsidR="00AC6618" w:rsidRPr="003A7E97" w:rsidRDefault="00AC6618" w:rsidP="00AC6618">
      <w:pPr>
        <w:pStyle w:val="Paragraphedeliste"/>
        <w:rPr>
          <w:lang w:val="fr-FR"/>
        </w:rPr>
      </w:pPr>
    </w:p>
    <w:sectPr w:rsidR="00AC6618" w:rsidRPr="003A7E97" w:rsidSect="0034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5FA2"/>
    <w:multiLevelType w:val="hybridMultilevel"/>
    <w:tmpl w:val="7EAE7EB4"/>
    <w:lvl w:ilvl="0" w:tplc="A3D22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D2686"/>
    <w:multiLevelType w:val="hybridMultilevel"/>
    <w:tmpl w:val="412ED6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>
    <w:useFELayout/>
  </w:compat>
  <w:rsids>
    <w:rsidRoot w:val="00AC6618"/>
    <w:rsid w:val="000A0FE4"/>
    <w:rsid w:val="00343DFC"/>
    <w:rsid w:val="003A7E97"/>
    <w:rsid w:val="00A24F32"/>
    <w:rsid w:val="00AC6618"/>
    <w:rsid w:val="00B20A52"/>
    <w:rsid w:val="00CF1F38"/>
    <w:rsid w:val="00D9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97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A7E9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7E9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7E9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7E9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7E9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7E9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7E9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7E9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7E9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7E9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A7E9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3A7E97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3A7E97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3A7E97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3A7E97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A7E97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A7E97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A7E9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A7E97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A7E97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A7E9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A7E97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7E9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A7E97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3A7E97"/>
    <w:rPr>
      <w:b/>
      <w:bCs/>
    </w:rPr>
  </w:style>
  <w:style w:type="character" w:styleId="Accentuation">
    <w:name w:val="Emphasis"/>
    <w:uiPriority w:val="20"/>
    <w:qFormat/>
    <w:rsid w:val="003A7E97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3A7E97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A7E97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3A7E9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A7E9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7E9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7E97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3A7E97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3A7E97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3A7E97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3A7E97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3A7E9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7E97"/>
    <w:pPr>
      <w:outlineLvl w:val="9"/>
    </w:pPr>
  </w:style>
  <w:style w:type="table" w:styleId="Grilledutableau">
    <w:name w:val="Table Grid"/>
    <w:basedOn w:val="TableauNormal"/>
    <w:uiPriority w:val="59"/>
    <w:rsid w:val="003A7E97"/>
    <w:pPr>
      <w:spacing w:before="0" w:after="0" w:line="240" w:lineRule="auto"/>
    </w:pPr>
    <w:rPr>
      <w:rFonts w:eastAsiaTheme="minorHAnsi"/>
      <w:lang w:val="fr-FR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</cp:revision>
  <dcterms:created xsi:type="dcterms:W3CDTF">2011-01-05T09:14:00Z</dcterms:created>
  <dcterms:modified xsi:type="dcterms:W3CDTF">2011-01-05T09:49:00Z</dcterms:modified>
</cp:coreProperties>
</file>